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41294" w14:textId="77777777" w:rsidR="00674D90" w:rsidRPr="00C20E86" w:rsidRDefault="00000000">
      <w:pPr>
        <w:spacing w:after="292" w:line="259" w:lineRule="auto"/>
        <w:ind w:left="0" w:firstLine="0"/>
        <w:jc w:val="center"/>
        <w:rPr>
          <w:lang w:val="en-US"/>
        </w:rPr>
      </w:pPr>
      <w:r w:rsidRPr="00C20E86">
        <w:rPr>
          <w:b/>
          <w:sz w:val="34"/>
          <w:lang w:val="en-US"/>
        </w:rPr>
        <w:t>Appendix</w:t>
      </w:r>
    </w:p>
    <w:p w14:paraId="777102EC" w14:textId="0A7AB28E" w:rsidR="00674D90" w:rsidRPr="00C20E86" w:rsidRDefault="00000000" w:rsidP="00C20E86">
      <w:pPr>
        <w:spacing w:after="292" w:line="259" w:lineRule="auto"/>
        <w:jc w:val="center"/>
        <w:rPr>
          <w:lang w:val="en-US"/>
        </w:rPr>
      </w:pPr>
      <w:r w:rsidRPr="00C20E86">
        <w:rPr>
          <w:sz w:val="34"/>
          <w:lang w:val="en-US"/>
        </w:rPr>
        <w:t>African Wild Dog Dispersal and Connectivity under</w:t>
      </w:r>
      <w:r w:rsidR="00C20E86">
        <w:rPr>
          <w:sz w:val="34"/>
          <w:lang w:val="en-US"/>
        </w:rPr>
        <w:t xml:space="preserve"> </w:t>
      </w:r>
      <w:r w:rsidRPr="00C20E86">
        <w:rPr>
          <w:sz w:val="34"/>
          <w:lang w:val="en-US"/>
        </w:rPr>
        <w:t>Climate Change - Lessons Learned from Seasonal Floo</w:t>
      </w:r>
      <w:r w:rsidR="00C20E86">
        <w:rPr>
          <w:sz w:val="34"/>
          <w:lang w:val="en-US"/>
        </w:rPr>
        <w:t xml:space="preserve">d </w:t>
      </w:r>
      <w:r w:rsidRPr="00C20E86">
        <w:rPr>
          <w:sz w:val="34"/>
          <w:lang w:val="en-US"/>
        </w:rPr>
        <w:t>Extremes</w:t>
      </w:r>
    </w:p>
    <w:p w14:paraId="458A2174" w14:textId="77777777" w:rsidR="00674D90" w:rsidRDefault="00000000">
      <w:pPr>
        <w:tabs>
          <w:tab w:val="center" w:pos="1534"/>
          <w:tab w:val="center" w:pos="4180"/>
          <w:tab w:val="center" w:pos="6609"/>
        </w:tabs>
        <w:spacing w:after="199" w:line="265"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743921F" wp14:editId="064992EC">
                <wp:simplePos x="0" y="0"/>
                <wp:positionH relativeFrom="column">
                  <wp:posOffset>3350807</wp:posOffset>
                </wp:positionH>
                <wp:positionV relativeFrom="paragraph">
                  <wp:posOffset>-6419</wp:posOffset>
                </wp:positionV>
                <wp:extent cx="527540" cy="447136"/>
                <wp:effectExtent l="0" t="0" r="0" b="0"/>
                <wp:wrapNone/>
                <wp:docPr id="2996" name="Group 2996"/>
                <wp:cNvGraphicFramePr/>
                <a:graphic xmlns:a="http://schemas.openxmlformats.org/drawingml/2006/main">
                  <a:graphicData uri="http://schemas.microsoft.com/office/word/2010/wordprocessingGroup">
                    <wpg:wgp>
                      <wpg:cNvGrpSpPr/>
                      <wpg:grpSpPr>
                        <a:xfrm>
                          <a:off x="0" y="0"/>
                          <a:ext cx="527540" cy="447136"/>
                          <a:chOff x="0" y="0"/>
                          <a:chExt cx="527540" cy="447136"/>
                        </a:xfrm>
                      </wpg:grpSpPr>
                      <wps:wsp>
                        <wps:cNvPr id="20" name="Shape 20"/>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21" name="Shape 21"/>
                        <wps:cNvSpPr/>
                        <wps:spPr>
                          <a:xfrm>
                            <a:off x="64595" y="46919"/>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15" name="Shape 3515"/>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40631" y="27701"/>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93719" y="47756"/>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 name="Shape 36"/>
                        <wps:cNvSpPr/>
                        <wps:spPr>
                          <a:xfrm>
                            <a:off x="375691"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37" name="Shape 37"/>
                        <wps:cNvSpPr/>
                        <wps:spPr>
                          <a:xfrm>
                            <a:off x="440286"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16" name="Shape 3516"/>
                        <wps:cNvSpPr/>
                        <wps:spPr>
                          <a:xfrm>
                            <a:off x="417746"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 name="Shape 39"/>
                        <wps:cNvSpPr/>
                        <wps:spPr>
                          <a:xfrm>
                            <a:off x="416323"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40"/>
                        <wps:cNvSpPr/>
                        <wps:spPr>
                          <a:xfrm>
                            <a:off x="469411" y="343043"/>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996" style="width:41.5386pt;height:35.2076pt;position:absolute;z-index:-2147483624;mso-position-horizontal-relative:text;mso-position-horizontal:absolute;margin-left:263.843pt;mso-position-vertical-relative:text;margin-top:-0.505524pt;" coordsize="5275,4471">
                <v:shape id="Shape 20"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21" style="position:absolute;width:291;height:635;left:645;top:469;" coordsize="29124,63587" path="m0,0l24676,0l29124,837l29124,10357l23193,8245l9135,8245l9135,55342l23667,55342l29124,54235l29124,62766l24794,63587l0,63587l0,0x">
                  <v:stroke weight="0pt" endcap="flat" joinstyle="miter" miterlimit="10" on="false" color="#000000" opacity="0"/>
                  <v:fill on="true" color="#ffffff"/>
                </v:shape>
                <v:shape id="Shape 3517" style="position:absolute;width:91;height:635;left:420;top:469;" coordsize="9144,63528" path="m0,0l9144,0l9144,63528l0,63528l0,0">
                  <v:stroke weight="0pt" endcap="flat" joinstyle="miter" miterlimit="10" on="false" color="#000000" opacity="0"/>
                  <v:fill on="true" color="#ffffff"/>
                </v:shape>
                <v:shape id="Shape 23"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24" style="position:absolute;width:293;height:619;left:937;top:477;"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shape id="Shape 36" style="position:absolute;width:1518;height:1518;left:3756;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37" style="position:absolute;width:291;height:635;left:4402;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3518" style="position:absolute;width:91;height:635;left:4177;top:3422;" coordsize="9144,63528" path="m0,0l9144,0l9144,63528l0,63528l0,0">
                  <v:stroke weight="0pt" endcap="flat" joinstyle="miter" miterlimit="10" on="false" color="#000000" opacity="0"/>
                  <v:fill on="true" color="#ffffff"/>
                </v:shape>
                <v:shape id="Shape 39" style="position:absolute;width:119;height:119;left:4163;top:3229;" coordsize="11982,11982" path="m5991,0c9313,0,11982,2729,11982,5991c11982,9253,9313,11982,5991,11982c2669,11982,0,9253,0,5991c0,2669,2669,0,5991,0x">
                  <v:stroke weight="0pt" endcap="flat" joinstyle="miter" miterlimit="10" on="false" color="#000000" opacity="0"/>
                  <v:fill on="true" color="#ffffff"/>
                </v:shape>
                <v:shape id="Shape 40" style="position:absolute;width:293;height:619;left:4694;top:3430;"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group>
            </w:pict>
          </mc:Fallback>
        </mc:AlternateContent>
      </w:r>
      <w:r w:rsidRPr="00C20E86">
        <w:rPr>
          <w:rFonts w:ascii="Calibri" w:eastAsia="Calibri" w:hAnsi="Calibri" w:cs="Calibri"/>
          <w:sz w:val="22"/>
          <w:lang w:val="en-US"/>
        </w:rPr>
        <w:tab/>
      </w:r>
      <w:r>
        <w:rPr>
          <w:sz w:val="24"/>
        </w:rPr>
        <w:t>David D. Hofmann</w:t>
      </w:r>
      <w:r>
        <w:rPr>
          <w:sz w:val="24"/>
          <w:vertAlign w:val="superscript"/>
        </w:rPr>
        <w:t>1,2,</w:t>
      </w:r>
      <w:r>
        <w:rPr>
          <w:rFonts w:ascii="Calibri" w:eastAsia="Calibri" w:hAnsi="Calibri" w:cs="Calibri"/>
          <w:sz w:val="24"/>
          <w:vertAlign w:val="superscript"/>
        </w:rPr>
        <w:t>§</w:t>
      </w:r>
      <w:r>
        <w:rPr>
          <w:rFonts w:ascii="Calibri" w:eastAsia="Calibri" w:hAnsi="Calibri" w:cs="Calibri"/>
          <w:sz w:val="24"/>
          <w:vertAlign w:val="superscript"/>
        </w:rPr>
        <w:tab/>
      </w:r>
      <w:r>
        <w:rPr>
          <w:sz w:val="24"/>
        </w:rPr>
        <w:t>Dominik M. Behr</w:t>
      </w:r>
      <w:r>
        <w:rPr>
          <w:sz w:val="24"/>
          <w:vertAlign w:val="superscript"/>
        </w:rPr>
        <w:t>1,2</w:t>
      </w:r>
      <w:r>
        <w:rPr>
          <w:sz w:val="24"/>
          <w:vertAlign w:val="superscript"/>
        </w:rPr>
        <w:tab/>
      </w:r>
      <w:r>
        <w:rPr>
          <w:sz w:val="24"/>
        </w:rPr>
        <w:t>John W. McNutt</w:t>
      </w:r>
      <w:r>
        <w:rPr>
          <w:sz w:val="24"/>
          <w:vertAlign w:val="superscript"/>
        </w:rPr>
        <w:t>2</w:t>
      </w:r>
    </w:p>
    <w:p w14:paraId="5F323395" w14:textId="77777777" w:rsidR="00674D90" w:rsidRPr="00C20E86" w:rsidRDefault="00000000">
      <w:pPr>
        <w:tabs>
          <w:tab w:val="center" w:pos="2578"/>
          <w:tab w:val="center" w:pos="4924"/>
        </w:tabs>
        <w:spacing w:after="374" w:line="259" w:lineRule="auto"/>
        <w:ind w:left="0" w:firstLine="0"/>
        <w:jc w:val="left"/>
        <w:rPr>
          <w:lang w:val="en-US"/>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F960B2D" wp14:editId="4A3793F7">
                <wp:simplePos x="0" y="0"/>
                <wp:positionH relativeFrom="column">
                  <wp:posOffset>1754899</wp:posOffset>
                </wp:positionH>
                <wp:positionV relativeFrom="paragraph">
                  <wp:posOffset>-301109</wp:posOffset>
                </wp:positionV>
                <wp:extent cx="565399" cy="447136"/>
                <wp:effectExtent l="0" t="0" r="0" b="0"/>
                <wp:wrapNone/>
                <wp:docPr id="2995" name="Group 2995"/>
                <wp:cNvGraphicFramePr/>
                <a:graphic xmlns:a="http://schemas.openxmlformats.org/drawingml/2006/main">
                  <a:graphicData uri="http://schemas.microsoft.com/office/word/2010/wordprocessingGroup">
                    <wpg:wgp>
                      <wpg:cNvGrpSpPr/>
                      <wpg:grpSpPr>
                        <a:xfrm>
                          <a:off x="0" y="0"/>
                          <a:ext cx="565399" cy="447136"/>
                          <a:chOff x="0" y="0"/>
                          <a:chExt cx="565399" cy="447136"/>
                        </a:xfrm>
                      </wpg:grpSpPr>
                      <wps:wsp>
                        <wps:cNvPr id="13" name="Shape 13"/>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14" name="Shape 14"/>
                        <wps:cNvSpPr/>
                        <wps:spPr>
                          <a:xfrm>
                            <a:off x="64595" y="46919"/>
                            <a:ext cx="29124" cy="63587"/>
                          </a:xfrm>
                          <a:custGeom>
                            <a:avLst/>
                            <a:gdLst/>
                            <a:ahLst/>
                            <a:cxnLst/>
                            <a:rect l="0" t="0" r="0" b="0"/>
                            <a:pathLst>
                              <a:path w="29124" h="63587">
                                <a:moveTo>
                                  <a:pt x="0" y="0"/>
                                </a:moveTo>
                                <a:lnTo>
                                  <a:pt x="24675"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19" name="Shape 3519"/>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 name="Shape 16"/>
                        <wps:cNvSpPr/>
                        <wps:spPr>
                          <a:xfrm>
                            <a:off x="40631" y="27701"/>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Shape 17"/>
                        <wps:cNvSpPr/>
                        <wps:spPr>
                          <a:xfrm>
                            <a:off x="93719" y="47756"/>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 name="Shape 29"/>
                        <wps:cNvSpPr/>
                        <wps:spPr>
                          <a:xfrm>
                            <a:off x="413550"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30" name="Shape 30"/>
                        <wps:cNvSpPr/>
                        <wps:spPr>
                          <a:xfrm>
                            <a:off x="478145"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20" name="Shape 3520"/>
                        <wps:cNvSpPr/>
                        <wps:spPr>
                          <a:xfrm>
                            <a:off x="455605"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454181"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 name="Shape 33"/>
                        <wps:cNvSpPr/>
                        <wps:spPr>
                          <a:xfrm>
                            <a:off x="507269" y="343043"/>
                            <a:ext cx="29361" cy="61929"/>
                          </a:xfrm>
                          <a:custGeom>
                            <a:avLst/>
                            <a:gdLst/>
                            <a:ahLst/>
                            <a:cxnLst/>
                            <a:rect l="0" t="0" r="0" b="0"/>
                            <a:pathLst>
                              <a:path w="29361" h="61929">
                                <a:moveTo>
                                  <a:pt x="0" y="0"/>
                                </a:moveTo>
                                <a:lnTo>
                                  <a:pt x="10744" y="2020"/>
                                </a:lnTo>
                                <a:cubicBezTo>
                                  <a:pt x="23556" y="7445"/>
                                  <a:pt x="29361" y="19702"/>
                                  <a:pt x="29361" y="30957"/>
                                </a:cubicBezTo>
                                <a:cubicBezTo>
                                  <a:pt x="29361" y="43190"/>
                                  <a:pt x="22188" y="54958"/>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995" style="width:44.5196pt;height:35.2076pt;position:absolute;z-index:-2147483631;mso-position-horizontal-relative:text;mso-position-horizontal:absolute;margin-left:138.181pt;mso-position-vertical-relative:text;margin-top:-23.7095pt;" coordsize="5653,4471">
                <v:shape id="Shape 13"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14" style="position:absolute;width:291;height:635;left:645;top:469;" coordsize="29124,63587" path="m0,0l24675,0l29124,837l29124,10357l23193,8245l9135,8245l9135,55342l23667,55342l29124,54235l29124,62766l24794,63587l0,63587l0,0x">
                  <v:stroke weight="0pt" endcap="flat" joinstyle="miter" miterlimit="10" on="false" color="#000000" opacity="0"/>
                  <v:fill on="true" color="#ffffff"/>
                </v:shape>
                <v:shape id="Shape 3521" style="position:absolute;width:91;height:635;left:420;top:469;" coordsize="9144,63528" path="m0,0l9144,0l9144,63528l0,63528l0,0">
                  <v:stroke weight="0pt" endcap="flat" joinstyle="miter" miterlimit="10" on="false" color="#000000" opacity="0"/>
                  <v:fill on="true" color="#ffffff"/>
                </v:shape>
                <v:shape id="Shape 16"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17" style="position:absolute;width:293;height:619;left:937;top:477;"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shape id="Shape 29" style="position:absolute;width:1518;height:1518;left:4135;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30" style="position:absolute;width:291;height:635;left:4781;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3522" style="position:absolute;width:91;height:635;left:4556;top:3422;" coordsize="9144,63528" path="m0,0l9144,0l9144,63528l0,63528l0,0">
                  <v:stroke weight="0pt" endcap="flat" joinstyle="miter" miterlimit="10" on="false" color="#000000" opacity="0"/>
                  <v:fill on="true" color="#ffffff"/>
                </v:shape>
                <v:shape id="Shape 32" style="position:absolute;width:119;height:119;left:4541;top:3229;" coordsize="11982,11982" path="m5991,0c9313,0,11982,2729,11982,5991c11982,9253,9313,11982,5991,11982c2669,11982,0,9253,0,5991c0,2669,2669,0,5991,0x">
                  <v:stroke weight="0pt" endcap="flat" joinstyle="miter" miterlimit="10" on="false" color="#000000" opacity="0"/>
                  <v:fill on="true" color="#ffffff"/>
                </v:shape>
                <v:shape id="Shape 33" style="position:absolute;width:293;height:619;left:5072;top:3430;" coordsize="29361,61929" path="m0,0l10744,2020c23556,7445,29361,19702,29361,30957c29361,43190,22188,54958,9768,60076l0,61929l0,53398l7252,51927c17320,47139,19989,36829,19989,30957c19989,24580,17958,18693,13702,14400l0,9520l0,0x">
                  <v:stroke weight="0pt" endcap="flat" joinstyle="miter" miterlimit="10" on="false" color="#000000" opacity="0"/>
                  <v:fill on="true" color="#ffffff"/>
                </v:shape>
              </v:group>
            </w:pict>
          </mc:Fallback>
        </mc:AlternateContent>
      </w:r>
      <w:r w:rsidRPr="00C20E86">
        <w:rPr>
          <w:rFonts w:ascii="Calibri" w:eastAsia="Calibri" w:hAnsi="Calibri" w:cs="Calibri"/>
          <w:sz w:val="22"/>
          <w:lang w:val="en-US"/>
        </w:rPr>
        <w:tab/>
      </w:r>
      <w:r w:rsidRPr="00C20E86">
        <w:rPr>
          <w:sz w:val="24"/>
          <w:lang w:val="en-US"/>
        </w:rPr>
        <w:t>Arpat Ozgul</w:t>
      </w:r>
      <w:r w:rsidRPr="00C20E86">
        <w:rPr>
          <w:sz w:val="24"/>
          <w:vertAlign w:val="superscript"/>
          <w:lang w:val="en-US"/>
        </w:rPr>
        <w:t>1,2</w:t>
      </w:r>
      <w:r w:rsidRPr="00C20E86">
        <w:rPr>
          <w:sz w:val="24"/>
          <w:vertAlign w:val="superscript"/>
          <w:lang w:val="en-US"/>
        </w:rPr>
        <w:tab/>
      </w:r>
      <w:r w:rsidRPr="00C20E86">
        <w:rPr>
          <w:sz w:val="24"/>
          <w:lang w:val="en-US"/>
        </w:rPr>
        <w:t>Gabriele Cozzi</w:t>
      </w:r>
      <w:r w:rsidRPr="00C20E86">
        <w:rPr>
          <w:sz w:val="24"/>
          <w:vertAlign w:val="superscript"/>
          <w:lang w:val="en-US"/>
        </w:rPr>
        <w:t>1,2</w:t>
      </w:r>
    </w:p>
    <w:p w14:paraId="23F1D02B" w14:textId="77777777" w:rsidR="00674D90" w:rsidRPr="00C20E86" w:rsidRDefault="00000000">
      <w:pPr>
        <w:spacing w:after="869" w:line="265" w:lineRule="auto"/>
        <w:jc w:val="center"/>
        <w:rPr>
          <w:lang w:val="en-US"/>
        </w:rPr>
      </w:pPr>
      <w:r w:rsidRPr="00C20E86">
        <w:rPr>
          <w:sz w:val="24"/>
          <w:lang w:val="en-US"/>
        </w:rPr>
        <w:t>July 24, 2023</w:t>
      </w:r>
    </w:p>
    <w:p w14:paraId="0ECBD0D3" w14:textId="77777777" w:rsidR="00674D90" w:rsidRPr="00C20E86" w:rsidRDefault="00000000">
      <w:pPr>
        <w:numPr>
          <w:ilvl w:val="0"/>
          <w:numId w:val="1"/>
        </w:numPr>
        <w:spacing w:after="190"/>
        <w:ind w:hanging="156"/>
        <w:rPr>
          <w:lang w:val="en-US"/>
        </w:rPr>
      </w:pPr>
      <w:r w:rsidRPr="00C20E86">
        <w:rPr>
          <w:lang w:val="en-US"/>
        </w:rPr>
        <w:t>Department of Evolutionary Biology and Environmental Studies, University of Zurich,</w:t>
      </w:r>
    </w:p>
    <w:p w14:paraId="3C16E1E7" w14:textId="77777777" w:rsidR="00674D90" w:rsidRDefault="00000000">
      <w:pPr>
        <w:ind w:left="-5"/>
      </w:pPr>
      <w:r>
        <w:t>Winterthurerstrasse 190, 8057 Zurich, Switzerland.</w:t>
      </w:r>
    </w:p>
    <w:p w14:paraId="54E53E0C" w14:textId="77777777" w:rsidR="00674D90" w:rsidRPr="00C20E86" w:rsidRDefault="00000000">
      <w:pPr>
        <w:numPr>
          <w:ilvl w:val="0"/>
          <w:numId w:val="1"/>
        </w:numPr>
        <w:spacing w:after="190"/>
        <w:ind w:hanging="156"/>
        <w:rPr>
          <w:lang w:val="en-US"/>
        </w:rPr>
      </w:pPr>
      <w:r w:rsidRPr="00C20E86">
        <w:rPr>
          <w:lang w:val="en-US"/>
        </w:rPr>
        <w:t>Botswana Predator Conservation Program, Wild Entrust, Private Bag 13, Maun,</w:t>
      </w:r>
    </w:p>
    <w:p w14:paraId="798A381C" w14:textId="77777777" w:rsidR="00674D90" w:rsidRPr="00C20E86" w:rsidRDefault="00000000">
      <w:pPr>
        <w:ind w:left="-5"/>
        <w:rPr>
          <w:lang w:val="en-US"/>
        </w:rPr>
      </w:pPr>
      <w:r w:rsidRPr="00C20E86">
        <w:rPr>
          <w:lang w:val="en-US"/>
        </w:rPr>
        <w:t>Botswana.</w:t>
      </w:r>
    </w:p>
    <w:p w14:paraId="46977DA3" w14:textId="77777777" w:rsidR="00674D90" w:rsidRPr="00C20E86" w:rsidRDefault="00000000">
      <w:pPr>
        <w:spacing w:after="2474"/>
        <w:ind w:left="-5"/>
        <w:rPr>
          <w:lang w:val="en-US"/>
        </w:rPr>
      </w:pPr>
      <w:r w:rsidRPr="00C20E86">
        <w:rPr>
          <w:rFonts w:ascii="Calibri" w:eastAsia="Calibri" w:hAnsi="Calibri" w:cs="Calibri"/>
          <w:vertAlign w:val="superscript"/>
          <w:lang w:val="en-US"/>
        </w:rPr>
        <w:t xml:space="preserve">§ </w:t>
      </w:r>
      <w:r w:rsidRPr="00C20E86">
        <w:rPr>
          <w:lang w:val="en-US"/>
        </w:rPr>
        <w:t>Corresponding author (david.hofmann2@uzh.ch)</w:t>
      </w:r>
    </w:p>
    <w:p w14:paraId="3CBBAC9C" w14:textId="77777777" w:rsidR="00674D90" w:rsidRPr="00C20E86" w:rsidRDefault="00000000">
      <w:pPr>
        <w:spacing w:after="298" w:line="417" w:lineRule="auto"/>
        <w:ind w:left="-5"/>
        <w:rPr>
          <w:lang w:val="en-US"/>
        </w:rPr>
      </w:pPr>
      <w:r w:rsidRPr="00C20E86">
        <w:rPr>
          <w:b/>
          <w:lang w:val="en-US"/>
        </w:rPr>
        <w:t xml:space="preserve">Running Title: </w:t>
      </w:r>
      <w:r w:rsidRPr="00C20E86">
        <w:rPr>
          <w:lang w:val="en-US"/>
        </w:rPr>
        <w:t>African Wild Dog Dispersal in a Changing Climate: Lessons Learned from Seasonal Flood Extremes</w:t>
      </w:r>
    </w:p>
    <w:p w14:paraId="06D9A0B6" w14:textId="77777777" w:rsidR="00674D90" w:rsidRPr="00C20E86" w:rsidRDefault="00000000">
      <w:pPr>
        <w:spacing w:line="417" w:lineRule="auto"/>
        <w:ind w:left="-5"/>
        <w:rPr>
          <w:lang w:val="en-US"/>
        </w:rPr>
      </w:pPr>
      <w:r w:rsidRPr="00C20E86">
        <w:rPr>
          <w:b/>
          <w:lang w:val="en-US"/>
        </w:rPr>
        <w:t xml:space="preserve">Keywords: </w:t>
      </w:r>
      <w:r w:rsidRPr="00C20E86">
        <w:rPr>
          <w:lang w:val="en-US"/>
        </w:rPr>
        <w:t>movement, connectivity, climate change, seasonality, dispersal, conservation, individual-based simulations, step-selection</w:t>
      </w:r>
    </w:p>
    <w:p w14:paraId="65F716E5" w14:textId="77777777" w:rsidR="00674D90" w:rsidRPr="00C20E86" w:rsidRDefault="00000000">
      <w:pPr>
        <w:pStyle w:val="berschrift1"/>
        <w:tabs>
          <w:tab w:val="center" w:pos="1971"/>
        </w:tabs>
        <w:spacing w:after="244"/>
        <w:ind w:left="-15" w:firstLine="0"/>
        <w:rPr>
          <w:lang w:val="en-US"/>
        </w:rPr>
      </w:pPr>
      <w:r w:rsidRPr="00C20E86">
        <w:rPr>
          <w:lang w:val="en-US"/>
        </w:rPr>
        <w:lastRenderedPageBreak/>
        <w:t>A.1</w:t>
      </w:r>
      <w:r w:rsidRPr="00C20E86">
        <w:rPr>
          <w:lang w:val="en-US"/>
        </w:rPr>
        <w:tab/>
        <w:t>Dispersal Model</w:t>
      </w:r>
    </w:p>
    <w:p w14:paraId="5336328C" w14:textId="77777777" w:rsidR="00674D90" w:rsidRPr="00C20E86" w:rsidRDefault="00000000">
      <w:pPr>
        <w:spacing w:after="427" w:line="418" w:lineRule="auto"/>
        <w:ind w:left="-5"/>
        <w:rPr>
          <w:lang w:val="en-US"/>
        </w:rPr>
      </w:pPr>
      <w:r w:rsidRPr="00C20E86">
        <w:rPr>
          <w:lang w:val="en-US"/>
        </w:rPr>
        <w:t xml:space="preserve">The model employed to simulate dispersal was based on an integrated step selection function (iSSF). In (integrated) step selection functions (iSSFs, Fortin et al., 2005; Avgar et al., 2016), observed GPS locations are converted into steps (the straight-line traveled between two GPS recordings (Turchin, 1998)) and compared to a set of </w:t>
      </w:r>
      <w:r w:rsidRPr="00C20E86">
        <w:rPr>
          <w:i/>
          <w:lang w:val="en-US"/>
        </w:rPr>
        <w:t xml:space="preserve">random </w:t>
      </w:r>
      <w:r w:rsidRPr="00C20E86">
        <w:rPr>
          <w:lang w:val="en-US"/>
        </w:rPr>
        <w:t>steps in a conditional logistic regression framework (Fortin et al., 2005; Thurfjell et al., 2014; Muff et al., 2020; Fieberg et al., 2021). The model presented in (Hofmann et al., 2023) used dispersal data collected on 16 dispersing AWDs from a free-ranging wild dog population in northern Botswana. GPS data during dispersal was collected at 4-hourly intervals and translated into steps of similar duration. Observed steps were then paired step with 24 random steps that were generated using a uniform distribution for turning angles (−</w:t>
      </w:r>
      <w:r>
        <w:rPr>
          <w:i/>
        </w:rPr>
        <w:t>π</w:t>
      </w:r>
      <w:r w:rsidRPr="00C20E86">
        <w:rPr>
          <w:i/>
          <w:lang w:val="en-US"/>
        </w:rPr>
        <w:t>,</w:t>
      </w:r>
      <w:r w:rsidRPr="00C20E86">
        <w:rPr>
          <w:lang w:val="en-US"/>
        </w:rPr>
        <w:t>+</w:t>
      </w:r>
      <w:r>
        <w:rPr>
          <w:i/>
        </w:rPr>
        <w:t>π</w:t>
      </w:r>
      <w:r w:rsidRPr="00C20E86">
        <w:rPr>
          <w:lang w:val="en-US"/>
        </w:rPr>
        <w:t xml:space="preserve">) and step lengths from a gamma distribution fitted to observed steps (scale </w:t>
      </w:r>
      <w:r>
        <w:rPr>
          <w:i/>
        </w:rPr>
        <w:t>θ</w:t>
      </w:r>
      <w:r w:rsidRPr="00C20E86">
        <w:rPr>
          <w:i/>
          <w:lang w:val="en-US"/>
        </w:rPr>
        <w:t xml:space="preserve"> </w:t>
      </w:r>
      <w:r w:rsidRPr="00C20E86">
        <w:rPr>
          <w:lang w:val="en-US"/>
        </w:rPr>
        <w:t xml:space="preserve">= 6’308 and shape </w:t>
      </w:r>
      <w:r w:rsidRPr="00C20E86">
        <w:rPr>
          <w:i/>
          <w:lang w:val="en-US"/>
        </w:rPr>
        <w:t xml:space="preserve">k </w:t>
      </w:r>
      <w:r w:rsidRPr="00C20E86">
        <w:rPr>
          <w:lang w:val="en-US"/>
        </w:rPr>
        <w:t>= 0.37). It was then assumed that animals assigned to each observed and random step a selection score of the form (Fortin et al., 2005):</w:t>
      </w:r>
    </w:p>
    <w:p w14:paraId="613DF927" w14:textId="77777777" w:rsidR="00674D90" w:rsidRPr="00C20E86" w:rsidRDefault="00000000">
      <w:pPr>
        <w:tabs>
          <w:tab w:val="center" w:pos="3356"/>
          <w:tab w:val="right" w:pos="7937"/>
        </w:tabs>
        <w:spacing w:after="395" w:line="259" w:lineRule="auto"/>
        <w:ind w:left="0" w:firstLine="0"/>
        <w:jc w:val="left"/>
        <w:rPr>
          <w:lang w:val="en-US"/>
        </w:rPr>
      </w:pPr>
      <w:r w:rsidRPr="00C20E86">
        <w:rPr>
          <w:rFonts w:ascii="Calibri" w:eastAsia="Calibri" w:hAnsi="Calibri" w:cs="Calibri"/>
          <w:sz w:val="22"/>
          <w:lang w:val="en-US"/>
        </w:rPr>
        <w:tab/>
      </w:r>
      <w:r w:rsidRPr="00C20E86">
        <w:rPr>
          <w:i/>
          <w:lang w:val="en-US"/>
        </w:rPr>
        <w:t>w</w:t>
      </w:r>
      <w:r w:rsidRPr="00C20E86">
        <w:rPr>
          <w:lang w:val="en-US"/>
        </w:rPr>
        <w:t>(</w:t>
      </w:r>
      <w:r w:rsidRPr="00C20E86">
        <w:rPr>
          <w:i/>
          <w:lang w:val="en-US"/>
        </w:rPr>
        <w:t>x</w:t>
      </w:r>
      <w:r w:rsidRPr="00C20E86">
        <w:rPr>
          <w:lang w:val="en-US"/>
        </w:rPr>
        <w:t xml:space="preserve">) = </w:t>
      </w:r>
      <w:r w:rsidRPr="00C20E86">
        <w:rPr>
          <w:i/>
          <w:lang w:val="en-US"/>
        </w:rPr>
        <w:t>exp</w:t>
      </w:r>
      <w:r w:rsidRPr="00C20E86">
        <w:rPr>
          <w:lang w:val="en-US"/>
        </w:rPr>
        <w:t>(</w:t>
      </w:r>
      <w:r>
        <w:rPr>
          <w:i/>
        </w:rPr>
        <w:t>β</w:t>
      </w:r>
      <w:r w:rsidRPr="00C20E86">
        <w:rPr>
          <w:vertAlign w:val="subscript"/>
          <w:lang w:val="en-US"/>
        </w:rPr>
        <w:t>1</w:t>
      </w:r>
      <w:r w:rsidRPr="00C20E86">
        <w:rPr>
          <w:i/>
          <w:lang w:val="en-US"/>
        </w:rPr>
        <w:t>x</w:t>
      </w:r>
      <w:r w:rsidRPr="00C20E86">
        <w:rPr>
          <w:vertAlign w:val="subscript"/>
          <w:lang w:val="en-US"/>
        </w:rPr>
        <w:t xml:space="preserve">1 </w:t>
      </w:r>
      <w:r w:rsidRPr="00C20E86">
        <w:rPr>
          <w:lang w:val="en-US"/>
        </w:rPr>
        <w:t xml:space="preserve">+ </w:t>
      </w:r>
      <w:r>
        <w:rPr>
          <w:i/>
        </w:rPr>
        <w:t>β</w:t>
      </w:r>
      <w:r w:rsidRPr="00C20E86">
        <w:rPr>
          <w:vertAlign w:val="subscript"/>
          <w:lang w:val="en-US"/>
        </w:rPr>
        <w:t>2</w:t>
      </w:r>
      <w:r w:rsidRPr="00C20E86">
        <w:rPr>
          <w:i/>
          <w:lang w:val="en-US"/>
        </w:rPr>
        <w:t>x</w:t>
      </w:r>
      <w:r w:rsidRPr="00C20E86">
        <w:rPr>
          <w:vertAlign w:val="subscript"/>
          <w:lang w:val="en-US"/>
        </w:rPr>
        <w:t xml:space="preserve">2 </w:t>
      </w:r>
      <w:r w:rsidRPr="00C20E86">
        <w:rPr>
          <w:lang w:val="en-US"/>
        </w:rPr>
        <w:t xml:space="preserve">+ </w:t>
      </w:r>
      <w:r w:rsidRPr="00C20E86">
        <w:rPr>
          <w:i/>
          <w:lang w:val="en-US"/>
        </w:rPr>
        <w:t xml:space="preserve">... </w:t>
      </w:r>
      <w:r w:rsidRPr="00C20E86">
        <w:rPr>
          <w:lang w:val="en-US"/>
        </w:rPr>
        <w:t xml:space="preserve">+ </w:t>
      </w:r>
      <w:r>
        <w:rPr>
          <w:i/>
        </w:rPr>
        <w:t>β</w:t>
      </w:r>
      <w:r w:rsidRPr="00C20E86">
        <w:rPr>
          <w:i/>
          <w:vertAlign w:val="subscript"/>
          <w:lang w:val="en-US"/>
        </w:rPr>
        <w:t>n</w:t>
      </w:r>
      <w:r w:rsidRPr="00C20E86">
        <w:rPr>
          <w:i/>
          <w:lang w:val="en-US"/>
        </w:rPr>
        <w:t>x</w:t>
      </w:r>
      <w:r w:rsidRPr="00C20E86">
        <w:rPr>
          <w:i/>
          <w:vertAlign w:val="subscript"/>
          <w:lang w:val="en-US"/>
        </w:rPr>
        <w:t>n</w:t>
      </w:r>
      <w:r w:rsidRPr="00C20E86">
        <w:rPr>
          <w:lang w:val="en-US"/>
        </w:rPr>
        <w:t>)</w:t>
      </w:r>
      <w:r w:rsidRPr="00C20E86">
        <w:rPr>
          <w:lang w:val="en-US"/>
        </w:rPr>
        <w:tab/>
        <w:t>(Equation S1)</w:t>
      </w:r>
    </w:p>
    <w:p w14:paraId="218C3445" w14:textId="2C09A624" w:rsidR="00C20E86" w:rsidRDefault="00000000">
      <w:pPr>
        <w:spacing w:line="426" w:lineRule="auto"/>
        <w:ind w:left="-15" w:firstLine="299"/>
        <w:rPr>
          <w:lang w:val="en-US"/>
        </w:rPr>
      </w:pPr>
      <w:r w:rsidRPr="00C20E86">
        <w:rPr>
          <w:lang w:val="en-US"/>
        </w:rPr>
        <w:t>Where (</w:t>
      </w:r>
      <w:r w:rsidRPr="00C20E86">
        <w:rPr>
          <w:i/>
          <w:lang w:val="en-US"/>
        </w:rPr>
        <w:t>x</w:t>
      </w:r>
      <w:r w:rsidRPr="00C20E86">
        <w:rPr>
          <w:vertAlign w:val="subscript"/>
          <w:lang w:val="en-US"/>
        </w:rPr>
        <w:t>1</w:t>
      </w:r>
      <w:r w:rsidRPr="00C20E86">
        <w:rPr>
          <w:i/>
          <w:lang w:val="en-US"/>
        </w:rPr>
        <w:t>,x</w:t>
      </w:r>
      <w:r w:rsidRPr="00C20E86">
        <w:rPr>
          <w:vertAlign w:val="subscript"/>
          <w:lang w:val="en-US"/>
        </w:rPr>
        <w:t>2</w:t>
      </w:r>
      <w:r w:rsidRPr="00C20E86">
        <w:rPr>
          <w:i/>
          <w:lang w:val="en-US"/>
        </w:rPr>
        <w:t>,...,x</w:t>
      </w:r>
      <w:r w:rsidRPr="00C20E86">
        <w:rPr>
          <w:i/>
          <w:vertAlign w:val="subscript"/>
          <w:lang w:val="en-US"/>
        </w:rPr>
        <w:t>n</w:t>
      </w:r>
      <w:r w:rsidRPr="00C20E86">
        <w:rPr>
          <w:lang w:val="en-US"/>
        </w:rPr>
        <w:t>) represent the covariate values along each of the steps and the (</w:t>
      </w:r>
      <w:r>
        <w:rPr>
          <w:i/>
        </w:rPr>
        <w:t>β</w:t>
      </w:r>
      <w:r w:rsidRPr="00C20E86">
        <w:rPr>
          <w:vertAlign w:val="subscript"/>
          <w:lang w:val="en-US"/>
        </w:rPr>
        <w:t>1</w:t>
      </w:r>
      <w:r w:rsidRPr="00C20E86">
        <w:rPr>
          <w:i/>
          <w:lang w:val="en-US"/>
        </w:rPr>
        <w:t>,</w:t>
      </w:r>
      <w:r>
        <w:rPr>
          <w:i/>
        </w:rPr>
        <w:t>β</w:t>
      </w:r>
      <w:r w:rsidRPr="00C20E86">
        <w:rPr>
          <w:vertAlign w:val="subscript"/>
          <w:lang w:val="en-US"/>
        </w:rPr>
        <w:t>2</w:t>
      </w:r>
      <w:r w:rsidRPr="00C20E86">
        <w:rPr>
          <w:i/>
          <w:lang w:val="en-US"/>
        </w:rPr>
        <w:t>,...,</w:t>
      </w:r>
      <w:r>
        <w:rPr>
          <w:i/>
        </w:rPr>
        <w:t>β</w:t>
      </w:r>
      <w:r w:rsidRPr="00C20E86">
        <w:rPr>
          <w:i/>
          <w:vertAlign w:val="subscript"/>
          <w:lang w:val="en-US"/>
        </w:rPr>
        <w:t>n</w:t>
      </w:r>
      <w:r w:rsidRPr="00C20E86">
        <w:rPr>
          <w:lang w:val="en-US"/>
        </w:rPr>
        <w:t xml:space="preserve">) are the animal’s relative selection strengths (Avgar et al., 2017) towards these covariates. The benefit of </w:t>
      </w:r>
      <w:r w:rsidRPr="00C20E86">
        <w:rPr>
          <w:i/>
          <w:lang w:val="en-US"/>
        </w:rPr>
        <w:t xml:space="preserve">integrated </w:t>
      </w:r>
      <w:r w:rsidRPr="00C20E86">
        <w:rPr>
          <w:lang w:val="en-US"/>
        </w:rPr>
        <w:t xml:space="preserve">SSFs over regular SSFs is that they provide a means to render two complementary “kernels”. A </w:t>
      </w:r>
      <w:r w:rsidRPr="00C20E86">
        <w:rPr>
          <w:i/>
          <w:lang w:val="en-US"/>
        </w:rPr>
        <w:t xml:space="preserve">movement </w:t>
      </w:r>
      <w:r w:rsidRPr="00C20E86">
        <w:rPr>
          <w:lang w:val="en-US"/>
        </w:rPr>
        <w:t xml:space="preserve">kernel that describes general movement behavior of dispersing AWDs and a </w:t>
      </w:r>
      <w:r w:rsidRPr="00C20E86">
        <w:rPr>
          <w:i/>
          <w:lang w:val="en-US"/>
        </w:rPr>
        <w:t xml:space="preserve">habitat </w:t>
      </w:r>
      <w:r w:rsidRPr="00C20E86">
        <w:rPr>
          <w:lang w:val="en-US"/>
        </w:rPr>
        <w:t>kernel that describes preferences of AWDs with regards to environmental conditions (Fieberg et al., 2021). iSSFs also allow interactions among the two kernels and are thus suitable to render that movement behavior may change depending on habitat conditions. A fitted iSSF model can be used as an individual-based movement model to simulate dispersal (Signer et al., 2017; Hofmann et al., 2023)</w:t>
      </w:r>
    </w:p>
    <w:p w14:paraId="0937892D" w14:textId="77777777" w:rsidR="00C20E86" w:rsidRDefault="00C20E86">
      <w:pPr>
        <w:spacing w:after="160" w:line="259" w:lineRule="auto"/>
        <w:ind w:left="0" w:firstLine="0"/>
        <w:jc w:val="left"/>
        <w:rPr>
          <w:lang w:val="en-US"/>
        </w:rPr>
      </w:pPr>
      <w:r>
        <w:rPr>
          <w:lang w:val="en-US"/>
        </w:rPr>
        <w:br w:type="page"/>
      </w:r>
    </w:p>
    <w:p w14:paraId="1ABE1283" w14:textId="77777777" w:rsidR="00674D90" w:rsidRPr="00C20E86" w:rsidRDefault="00000000">
      <w:pPr>
        <w:pStyle w:val="berschrift1"/>
        <w:tabs>
          <w:tab w:val="center" w:pos="2715"/>
        </w:tabs>
        <w:spacing w:after="244"/>
        <w:ind w:left="-15" w:firstLine="0"/>
        <w:rPr>
          <w:lang w:val="en-US"/>
        </w:rPr>
      </w:pPr>
      <w:r w:rsidRPr="00C20E86">
        <w:rPr>
          <w:lang w:val="en-US"/>
        </w:rPr>
        <w:lastRenderedPageBreak/>
        <w:t>A.2</w:t>
      </w:r>
      <w:r w:rsidRPr="00C20E86">
        <w:rPr>
          <w:lang w:val="en-US"/>
        </w:rPr>
        <w:tab/>
        <w:t>Dispersal Model Estimates</w:t>
      </w:r>
    </w:p>
    <w:p w14:paraId="08D8DE18" w14:textId="77777777" w:rsidR="00674D90" w:rsidRPr="00C20E86" w:rsidRDefault="00000000">
      <w:pPr>
        <w:spacing w:after="0" w:line="407" w:lineRule="auto"/>
        <w:ind w:left="-5"/>
        <w:rPr>
          <w:lang w:val="en-US"/>
        </w:rPr>
      </w:pPr>
      <w:r w:rsidRPr="00C20E86">
        <w:rPr>
          <w:lang w:val="en-US"/>
        </w:rPr>
        <w:t>Figure S1 depicts the model estimates from Hofmann et al. (2023) that we used to simulate dispersal trajectories in this study.</w:t>
      </w:r>
    </w:p>
    <w:p w14:paraId="02CD0288" w14:textId="77777777" w:rsidR="00674D90" w:rsidRDefault="00000000">
      <w:pPr>
        <w:spacing w:after="228" w:line="259" w:lineRule="auto"/>
        <w:ind w:left="0" w:firstLine="0"/>
        <w:jc w:val="left"/>
      </w:pPr>
      <w:r>
        <w:rPr>
          <w:noProof/>
        </w:rPr>
        <w:drawing>
          <wp:inline distT="0" distB="0" distL="0" distR="0" wp14:anchorId="513443AB" wp14:editId="5D14E843">
            <wp:extent cx="5040150" cy="504015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
                    <a:stretch>
                      <a:fillRect/>
                    </a:stretch>
                  </pic:blipFill>
                  <pic:spPr>
                    <a:xfrm>
                      <a:off x="0" y="0"/>
                      <a:ext cx="5040150" cy="5040150"/>
                    </a:xfrm>
                    <a:prstGeom prst="rect">
                      <a:avLst/>
                    </a:prstGeom>
                  </pic:spPr>
                </pic:pic>
              </a:graphicData>
            </a:graphic>
          </wp:inline>
        </w:drawing>
      </w:r>
    </w:p>
    <w:p w14:paraId="0DE6DDA5" w14:textId="77777777" w:rsidR="00674D90" w:rsidRPr="00C20E86" w:rsidRDefault="00000000">
      <w:pPr>
        <w:spacing w:after="115" w:line="255" w:lineRule="auto"/>
        <w:ind w:left="-5" w:right="-15"/>
        <w:rPr>
          <w:lang w:val="en-US"/>
        </w:rPr>
      </w:pPr>
      <w:r w:rsidRPr="00C20E86">
        <w:rPr>
          <w:b/>
          <w:sz w:val="18"/>
          <w:lang w:val="en-US"/>
        </w:rPr>
        <w:t xml:space="preserve">Figure S1: </w:t>
      </w:r>
      <w:r w:rsidRPr="00C20E86">
        <w:rPr>
          <w:sz w:val="18"/>
          <w:lang w:val="en-US"/>
        </w:rPr>
        <w:t>Model parameters from the step-selection model implemented by Hofmann et al. (2023). The model was fit to GPS data of dispersing African wild dogs and comprises of a habitat kernel (light blue band), a movement kernel (dark blue band), and their interactions (purple band). Abbreviations are as follows: sl = step-length, log(sl) = natural logarithm of the step-length, cos(ta) = cosine of the relative turning angle.</w:t>
      </w:r>
    </w:p>
    <w:p w14:paraId="6CD1CC4C" w14:textId="77777777" w:rsidR="00674D90" w:rsidRPr="00C20E86" w:rsidRDefault="00000000">
      <w:pPr>
        <w:pStyle w:val="berschrift1"/>
        <w:tabs>
          <w:tab w:val="center" w:pos="3694"/>
        </w:tabs>
        <w:ind w:left="-15" w:firstLine="0"/>
        <w:rPr>
          <w:lang w:val="en-US"/>
        </w:rPr>
      </w:pPr>
      <w:r w:rsidRPr="00C20E86">
        <w:rPr>
          <w:lang w:val="en-US"/>
        </w:rPr>
        <w:lastRenderedPageBreak/>
        <w:t>A.3</w:t>
      </w:r>
      <w:r w:rsidRPr="00C20E86">
        <w:rPr>
          <w:lang w:val="en-US"/>
        </w:rPr>
        <w:tab/>
        <w:t>Source-Specific Inter-Patch Connectivity</w:t>
      </w:r>
    </w:p>
    <w:p w14:paraId="479769C8" w14:textId="77777777" w:rsidR="00674D90" w:rsidRDefault="00000000">
      <w:pPr>
        <w:spacing w:after="228" w:line="259" w:lineRule="auto"/>
        <w:ind w:left="0" w:firstLine="0"/>
        <w:jc w:val="left"/>
      </w:pPr>
      <w:r>
        <w:rPr>
          <w:noProof/>
        </w:rPr>
        <w:drawing>
          <wp:inline distT="0" distB="0" distL="0" distR="0" wp14:anchorId="061F36D3" wp14:editId="7686E004">
            <wp:extent cx="5040071" cy="3780053"/>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8"/>
                    <a:stretch>
                      <a:fillRect/>
                    </a:stretch>
                  </pic:blipFill>
                  <pic:spPr>
                    <a:xfrm>
                      <a:off x="0" y="0"/>
                      <a:ext cx="5040071" cy="3780053"/>
                    </a:xfrm>
                    <a:prstGeom prst="rect">
                      <a:avLst/>
                    </a:prstGeom>
                  </pic:spPr>
                </pic:pic>
              </a:graphicData>
            </a:graphic>
          </wp:inline>
        </w:drawing>
      </w:r>
    </w:p>
    <w:p w14:paraId="16C20655" w14:textId="77777777" w:rsidR="00674D90" w:rsidRPr="00C20E86" w:rsidRDefault="00000000">
      <w:pPr>
        <w:spacing w:after="115" w:line="255" w:lineRule="auto"/>
        <w:ind w:left="-5" w:right="-15"/>
        <w:rPr>
          <w:lang w:val="en-US"/>
        </w:rPr>
      </w:pPr>
      <w:r w:rsidRPr="00C20E86">
        <w:rPr>
          <w:b/>
          <w:sz w:val="18"/>
          <w:lang w:val="en-US"/>
        </w:rPr>
        <w:t xml:space="preserve">Figure S2: </w:t>
      </w:r>
      <w:r w:rsidRPr="00C20E86">
        <w:rPr>
          <w:sz w:val="18"/>
          <w:lang w:val="en-US"/>
        </w:rPr>
        <w:t>Spatial representation of inter-patch connectivity derived for each source area separately across the two extreme flood-scenarios. The focal source area of each subfigure is highlighted by a red circle. Subfigure (a), for instance, depicts inter-patch connectivity for source area 1.</w:t>
      </w:r>
    </w:p>
    <w:p w14:paraId="2C79BB34" w14:textId="77777777" w:rsidR="00674D90" w:rsidRDefault="00000000">
      <w:pPr>
        <w:spacing w:after="228" w:line="259" w:lineRule="auto"/>
        <w:ind w:left="0" w:firstLine="0"/>
        <w:jc w:val="left"/>
      </w:pPr>
      <w:r>
        <w:rPr>
          <w:noProof/>
        </w:rPr>
        <w:lastRenderedPageBreak/>
        <w:drawing>
          <wp:inline distT="0" distB="0" distL="0" distR="0" wp14:anchorId="2F4CEF77" wp14:editId="358B855E">
            <wp:extent cx="5040071" cy="3780053"/>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
                    <a:stretch>
                      <a:fillRect/>
                    </a:stretch>
                  </pic:blipFill>
                  <pic:spPr>
                    <a:xfrm>
                      <a:off x="0" y="0"/>
                      <a:ext cx="5040071" cy="3780053"/>
                    </a:xfrm>
                    <a:prstGeom prst="rect">
                      <a:avLst/>
                    </a:prstGeom>
                  </pic:spPr>
                </pic:pic>
              </a:graphicData>
            </a:graphic>
          </wp:inline>
        </w:drawing>
      </w:r>
    </w:p>
    <w:p w14:paraId="550F88F0" w14:textId="77777777" w:rsidR="00674D90" w:rsidRPr="00C20E86" w:rsidRDefault="00000000">
      <w:pPr>
        <w:spacing w:after="115" w:line="255" w:lineRule="auto"/>
        <w:ind w:left="-5" w:right="-15"/>
        <w:rPr>
          <w:lang w:val="en-US"/>
        </w:rPr>
      </w:pPr>
      <w:r w:rsidRPr="00C20E86">
        <w:rPr>
          <w:b/>
          <w:sz w:val="18"/>
          <w:lang w:val="en-US"/>
        </w:rPr>
        <w:t xml:space="preserve">Figure S3: </w:t>
      </w:r>
      <w:r w:rsidRPr="00C20E86">
        <w:rPr>
          <w:sz w:val="18"/>
          <w:lang w:val="en-US"/>
        </w:rPr>
        <w:t>Spatial representation of emigration patterns derived for each source area separately across the two extreme flood-scenarios. The focal source area of each subfigure is highlighted by a red circle. Subfigure (a), for instance, depicts the number of emigrating individuals from source area 1.</w:t>
      </w:r>
      <w:r w:rsidRPr="00C20E86">
        <w:rPr>
          <w:lang w:val="en-US"/>
        </w:rPr>
        <w:br w:type="page"/>
      </w:r>
    </w:p>
    <w:p w14:paraId="5005513A" w14:textId="77777777" w:rsidR="00674D90" w:rsidRDefault="00000000">
      <w:pPr>
        <w:pStyle w:val="berschrift1"/>
        <w:tabs>
          <w:tab w:val="center" w:pos="2639"/>
        </w:tabs>
        <w:ind w:left="-15" w:firstLine="0"/>
      </w:pPr>
      <w:r>
        <w:lastRenderedPageBreak/>
        <w:t>A.4</w:t>
      </w:r>
      <w:r>
        <w:tab/>
        <w:t>Source-Specific Heatmaps</w:t>
      </w:r>
    </w:p>
    <w:p w14:paraId="770A0971" w14:textId="77777777" w:rsidR="00674D90" w:rsidRDefault="00000000">
      <w:pPr>
        <w:spacing w:after="228" w:line="259" w:lineRule="auto"/>
        <w:ind w:left="0" w:firstLine="0"/>
        <w:jc w:val="left"/>
      </w:pPr>
      <w:r>
        <w:rPr>
          <w:noProof/>
        </w:rPr>
        <w:drawing>
          <wp:inline distT="0" distB="0" distL="0" distR="0" wp14:anchorId="44883885" wp14:editId="38ED2A32">
            <wp:extent cx="5040041" cy="4408536"/>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
                    <a:stretch>
                      <a:fillRect/>
                    </a:stretch>
                  </pic:blipFill>
                  <pic:spPr>
                    <a:xfrm>
                      <a:off x="0" y="0"/>
                      <a:ext cx="5040041" cy="4408536"/>
                    </a:xfrm>
                    <a:prstGeom prst="rect">
                      <a:avLst/>
                    </a:prstGeom>
                  </pic:spPr>
                </pic:pic>
              </a:graphicData>
            </a:graphic>
          </wp:inline>
        </w:drawing>
      </w:r>
    </w:p>
    <w:p w14:paraId="5719190E" w14:textId="77777777" w:rsidR="00674D90" w:rsidRPr="00C20E86" w:rsidRDefault="00000000">
      <w:pPr>
        <w:spacing w:after="115" w:line="255" w:lineRule="auto"/>
        <w:ind w:left="-5" w:right="-15"/>
        <w:rPr>
          <w:lang w:val="en-US"/>
        </w:rPr>
      </w:pPr>
      <w:r w:rsidRPr="00C20E86">
        <w:rPr>
          <w:b/>
          <w:sz w:val="18"/>
          <w:lang w:val="en-US"/>
        </w:rPr>
        <w:t xml:space="preserve">Figure S4: </w:t>
      </w:r>
      <w:r w:rsidRPr="00C20E86">
        <w:rPr>
          <w:sz w:val="18"/>
          <w:lang w:val="en-US"/>
        </w:rPr>
        <w:t>Heatmaps prepared for each source area separately across the two extreme floodscenarios. The focal source area of each subfigure is highlighted by a red circle. Subfigure (a), for instance, depicts the heatmaps for source area 1.</w:t>
      </w:r>
    </w:p>
    <w:p w14:paraId="78E3023A" w14:textId="77777777" w:rsidR="00674D90" w:rsidRDefault="00000000">
      <w:pPr>
        <w:pStyle w:val="berschrift1"/>
        <w:tabs>
          <w:tab w:val="center" w:pos="2818"/>
        </w:tabs>
        <w:ind w:left="-15" w:firstLine="0"/>
      </w:pPr>
      <w:r>
        <w:lastRenderedPageBreak/>
        <w:t>A.5</w:t>
      </w:r>
      <w:r>
        <w:tab/>
        <w:t>Source-Specific Betweenness</w:t>
      </w:r>
    </w:p>
    <w:p w14:paraId="37D96A99" w14:textId="77777777" w:rsidR="00674D90" w:rsidRDefault="00000000">
      <w:pPr>
        <w:spacing w:after="228" w:line="259" w:lineRule="auto"/>
        <w:ind w:left="0" w:firstLine="0"/>
        <w:jc w:val="left"/>
      </w:pPr>
      <w:r>
        <w:rPr>
          <w:noProof/>
        </w:rPr>
        <w:drawing>
          <wp:inline distT="0" distB="0" distL="0" distR="0" wp14:anchorId="7D789EDF" wp14:editId="1773C1A2">
            <wp:extent cx="5040041" cy="4408536"/>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1"/>
                    <a:stretch>
                      <a:fillRect/>
                    </a:stretch>
                  </pic:blipFill>
                  <pic:spPr>
                    <a:xfrm>
                      <a:off x="0" y="0"/>
                      <a:ext cx="5040041" cy="4408536"/>
                    </a:xfrm>
                    <a:prstGeom prst="rect">
                      <a:avLst/>
                    </a:prstGeom>
                  </pic:spPr>
                </pic:pic>
              </a:graphicData>
            </a:graphic>
          </wp:inline>
        </w:drawing>
      </w:r>
    </w:p>
    <w:p w14:paraId="2ADB4F6B" w14:textId="77777777" w:rsidR="00674D90" w:rsidRPr="00C20E86" w:rsidRDefault="00000000">
      <w:pPr>
        <w:spacing w:after="115" w:line="255" w:lineRule="auto"/>
        <w:ind w:left="-5" w:right="-15"/>
        <w:rPr>
          <w:lang w:val="en-US"/>
        </w:rPr>
      </w:pPr>
      <w:r w:rsidRPr="00C20E86">
        <w:rPr>
          <w:b/>
          <w:sz w:val="18"/>
          <w:lang w:val="en-US"/>
        </w:rPr>
        <w:t xml:space="preserve">Figure S5: </w:t>
      </w:r>
      <w:r w:rsidRPr="00C20E86">
        <w:rPr>
          <w:sz w:val="18"/>
          <w:lang w:val="en-US"/>
        </w:rPr>
        <w:t>Betweenness maps prepared for each source area separately across the two extreme flood-scenarios. The focal source area of each subfigure is highlighted by a red circle. Subfigure (a), for instance, depicts the betweenness maps for source area 1.</w:t>
      </w:r>
    </w:p>
    <w:p w14:paraId="3A827B90" w14:textId="77777777" w:rsidR="00674D90" w:rsidRPr="00C20E86" w:rsidRDefault="00000000">
      <w:pPr>
        <w:pStyle w:val="berschrift1"/>
        <w:tabs>
          <w:tab w:val="center" w:pos="3672"/>
        </w:tabs>
        <w:ind w:left="-15" w:firstLine="0"/>
        <w:rPr>
          <w:lang w:val="en-US"/>
        </w:rPr>
      </w:pPr>
      <w:r w:rsidRPr="00C20E86">
        <w:rPr>
          <w:lang w:val="en-US"/>
        </w:rPr>
        <w:lastRenderedPageBreak/>
        <w:t>A.6</w:t>
      </w:r>
      <w:r w:rsidRPr="00C20E86">
        <w:rPr>
          <w:lang w:val="en-US"/>
        </w:rPr>
        <w:tab/>
        <w:t>Source-Specific Human Wildlife Conflict</w:t>
      </w:r>
    </w:p>
    <w:p w14:paraId="3ACB05ED" w14:textId="77777777" w:rsidR="00674D90" w:rsidRDefault="00000000">
      <w:pPr>
        <w:spacing w:after="228" w:line="259" w:lineRule="auto"/>
        <w:ind w:left="0" w:firstLine="0"/>
        <w:jc w:val="left"/>
      </w:pPr>
      <w:r>
        <w:rPr>
          <w:noProof/>
        </w:rPr>
        <w:drawing>
          <wp:inline distT="0" distB="0" distL="0" distR="0" wp14:anchorId="4ED817A0" wp14:editId="530F42AB">
            <wp:extent cx="5040041" cy="4408536"/>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2"/>
                    <a:stretch>
                      <a:fillRect/>
                    </a:stretch>
                  </pic:blipFill>
                  <pic:spPr>
                    <a:xfrm>
                      <a:off x="0" y="0"/>
                      <a:ext cx="5040041" cy="4408536"/>
                    </a:xfrm>
                    <a:prstGeom prst="rect">
                      <a:avLst/>
                    </a:prstGeom>
                  </pic:spPr>
                </pic:pic>
              </a:graphicData>
            </a:graphic>
          </wp:inline>
        </w:drawing>
      </w:r>
    </w:p>
    <w:p w14:paraId="19AF1AEF" w14:textId="77777777" w:rsidR="00674D90" w:rsidRPr="00C20E86" w:rsidRDefault="00000000">
      <w:pPr>
        <w:spacing w:after="115" w:line="255" w:lineRule="auto"/>
        <w:ind w:left="-5" w:right="-15"/>
        <w:rPr>
          <w:lang w:val="en-US"/>
        </w:rPr>
      </w:pPr>
      <w:r w:rsidRPr="00C20E86">
        <w:rPr>
          <w:b/>
          <w:sz w:val="18"/>
          <w:lang w:val="en-US"/>
        </w:rPr>
        <w:t xml:space="preserve">Figure S6: </w:t>
      </w:r>
      <w:r w:rsidRPr="00C20E86">
        <w:rPr>
          <w:sz w:val="18"/>
          <w:lang w:val="en-US"/>
        </w:rPr>
        <w:t>Human wildlife conflict maps prepared for each source area separately across the two extreme flood-scenarios. The focal source area of each subfigure is highlighted by a red circle. Subfigure (a), for instance, depicts the human wildlife conflict maps for source area 1.</w:t>
      </w:r>
    </w:p>
    <w:p w14:paraId="6DA90163" w14:textId="77777777" w:rsidR="00674D90" w:rsidRPr="00C20E86" w:rsidRDefault="00000000">
      <w:pPr>
        <w:pStyle w:val="berschrift1"/>
        <w:tabs>
          <w:tab w:val="center" w:pos="4085"/>
        </w:tabs>
        <w:ind w:left="-15" w:firstLine="0"/>
        <w:rPr>
          <w:lang w:val="en-US"/>
        </w:rPr>
      </w:pPr>
      <w:r w:rsidRPr="00C20E86">
        <w:rPr>
          <w:lang w:val="en-US"/>
        </w:rPr>
        <w:lastRenderedPageBreak/>
        <w:t>A.7</w:t>
      </w:r>
      <w:r w:rsidRPr="00C20E86">
        <w:rPr>
          <w:lang w:val="en-US"/>
        </w:rPr>
        <w:tab/>
        <w:t>Changes in Human Wildlife Conflict Potential</w:t>
      </w:r>
    </w:p>
    <w:p w14:paraId="07A72682" w14:textId="77777777" w:rsidR="00674D90" w:rsidRDefault="00000000">
      <w:pPr>
        <w:spacing w:after="228" w:line="259" w:lineRule="auto"/>
        <w:ind w:left="0" w:firstLine="0"/>
        <w:jc w:val="left"/>
      </w:pPr>
      <w:r>
        <w:rPr>
          <w:noProof/>
        </w:rPr>
        <w:drawing>
          <wp:inline distT="0" distB="0" distL="0" distR="0" wp14:anchorId="0B7D8965" wp14:editId="6A0C910D">
            <wp:extent cx="5040290" cy="3780218"/>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3"/>
                    <a:stretch>
                      <a:fillRect/>
                    </a:stretch>
                  </pic:blipFill>
                  <pic:spPr>
                    <a:xfrm>
                      <a:off x="0" y="0"/>
                      <a:ext cx="5040290" cy="3780218"/>
                    </a:xfrm>
                    <a:prstGeom prst="rect">
                      <a:avLst/>
                    </a:prstGeom>
                  </pic:spPr>
                </pic:pic>
              </a:graphicData>
            </a:graphic>
          </wp:inline>
        </w:drawing>
      </w:r>
    </w:p>
    <w:p w14:paraId="327D004D" w14:textId="6F23EA0D" w:rsidR="00C20E86" w:rsidRDefault="00000000">
      <w:pPr>
        <w:spacing w:after="115" w:line="255" w:lineRule="auto"/>
        <w:ind w:left="-5" w:right="-15"/>
        <w:rPr>
          <w:sz w:val="18"/>
          <w:lang w:val="en-US"/>
        </w:rPr>
      </w:pPr>
      <w:r w:rsidRPr="00C20E86">
        <w:rPr>
          <w:b/>
          <w:sz w:val="18"/>
          <w:lang w:val="en-US"/>
        </w:rPr>
        <w:t xml:space="preserve">Figure S7: </w:t>
      </w:r>
      <w:r w:rsidRPr="00C20E86">
        <w:rPr>
          <w:sz w:val="18"/>
          <w:lang w:val="en-US"/>
        </w:rPr>
        <w:t>Number of simulated trajectories within the vicinity of human-dominated landcapes in different areas of interest across the minimum and maximum flood scenarios.</w:t>
      </w:r>
    </w:p>
    <w:p w14:paraId="4FD6D71A" w14:textId="77777777" w:rsidR="00C20E86" w:rsidRDefault="00C20E86">
      <w:pPr>
        <w:spacing w:after="160" w:line="259" w:lineRule="auto"/>
        <w:ind w:left="0" w:firstLine="0"/>
        <w:jc w:val="left"/>
        <w:rPr>
          <w:sz w:val="18"/>
          <w:lang w:val="en-US"/>
        </w:rPr>
      </w:pPr>
      <w:r>
        <w:rPr>
          <w:sz w:val="18"/>
          <w:lang w:val="en-US"/>
        </w:rPr>
        <w:br w:type="page"/>
      </w:r>
    </w:p>
    <w:p w14:paraId="008150DC" w14:textId="77777777" w:rsidR="00674D90" w:rsidRPr="00C20E86" w:rsidRDefault="00000000">
      <w:pPr>
        <w:pStyle w:val="berschrift1"/>
        <w:ind w:left="-5"/>
        <w:rPr>
          <w:lang w:val="en-US"/>
        </w:rPr>
      </w:pPr>
      <w:r w:rsidRPr="00C20E86">
        <w:rPr>
          <w:lang w:val="en-US"/>
        </w:rPr>
        <w:lastRenderedPageBreak/>
        <w:t>References</w:t>
      </w:r>
    </w:p>
    <w:p w14:paraId="7C07B4F3" w14:textId="77777777" w:rsidR="00674D90" w:rsidRPr="00C20E86" w:rsidRDefault="00000000">
      <w:pPr>
        <w:ind w:left="184" w:hanging="199"/>
        <w:rPr>
          <w:lang w:val="en-US"/>
        </w:rPr>
      </w:pPr>
      <w:r w:rsidRPr="00C20E86">
        <w:rPr>
          <w:lang w:val="en-US"/>
        </w:rPr>
        <w:t xml:space="preserve">Avgar, T., Lele, S. R., Keim, J. L., and Boyce, M. S. (2017). Relative Selection Strength: Quantifying Effect Size in Habitat- and Step-Selection Inference. </w:t>
      </w:r>
      <w:r w:rsidRPr="00C20E86">
        <w:rPr>
          <w:i/>
          <w:lang w:val="en-US"/>
        </w:rPr>
        <w:t>Ecology and Evolution</w:t>
      </w:r>
      <w:r w:rsidRPr="00C20E86">
        <w:rPr>
          <w:lang w:val="en-US"/>
        </w:rPr>
        <w:t>, 7(14):5322–5330.</w:t>
      </w:r>
    </w:p>
    <w:p w14:paraId="4EB5D4D9" w14:textId="77777777" w:rsidR="00674D90" w:rsidRPr="00C20E86" w:rsidRDefault="00000000">
      <w:pPr>
        <w:ind w:left="184" w:hanging="199"/>
        <w:rPr>
          <w:lang w:val="en-US"/>
        </w:rPr>
      </w:pPr>
      <w:r w:rsidRPr="00C20E86">
        <w:rPr>
          <w:lang w:val="en-US"/>
        </w:rPr>
        <w:t xml:space="preserve">Avgar, T., Potts, J. R., Lewis, M. A., and Boyce, M. S. (2016). Integrated Step Selection Analysis: Bridging the Gap Between Resource Selection and Animal Movement. </w:t>
      </w:r>
      <w:r w:rsidRPr="00C20E86">
        <w:rPr>
          <w:i/>
          <w:lang w:val="en-US"/>
        </w:rPr>
        <w:t>Methods in Ecology and Evolution</w:t>
      </w:r>
      <w:r w:rsidRPr="00C20E86">
        <w:rPr>
          <w:lang w:val="en-US"/>
        </w:rPr>
        <w:t>, 7(5):619–630.</w:t>
      </w:r>
    </w:p>
    <w:p w14:paraId="30B376E7" w14:textId="77777777" w:rsidR="00674D90" w:rsidRPr="00C20E86" w:rsidRDefault="00000000">
      <w:pPr>
        <w:ind w:left="184" w:hanging="199"/>
        <w:rPr>
          <w:lang w:val="en-US"/>
        </w:rPr>
      </w:pPr>
      <w:r w:rsidRPr="00C20E86">
        <w:rPr>
          <w:lang w:val="en-US"/>
        </w:rPr>
        <w:t xml:space="preserve">Fieberg, J., Signer, J., Smith, B., and Avgar, T. (2021). A ‘How to’ Guide for Interpreting Parameters in Habitat-Selection Analyses. </w:t>
      </w:r>
      <w:r w:rsidRPr="00C20E86">
        <w:rPr>
          <w:i/>
          <w:lang w:val="en-US"/>
        </w:rPr>
        <w:t>Journal of Animal Ecology</w:t>
      </w:r>
      <w:r w:rsidRPr="00C20E86">
        <w:rPr>
          <w:lang w:val="en-US"/>
        </w:rPr>
        <w:t>, 90(5):1027–1043.</w:t>
      </w:r>
    </w:p>
    <w:p w14:paraId="6FE54F3C" w14:textId="77777777" w:rsidR="00674D90" w:rsidRPr="00C20E86" w:rsidRDefault="00000000">
      <w:pPr>
        <w:ind w:left="184" w:hanging="199"/>
        <w:rPr>
          <w:lang w:val="en-US"/>
        </w:rPr>
      </w:pPr>
      <w:r w:rsidRPr="00C20E86">
        <w:rPr>
          <w:lang w:val="en-US"/>
        </w:rPr>
        <w:t xml:space="preserve">Fortin, D., Beyer, H. L., Boyce, M. S., Smith, D. W., Duchesne, T., and Mao, J. S. (2005). Wolves Influence Elk Movements: Behavior Shapes a Trophic Cascade in Yellowstone National Park. </w:t>
      </w:r>
      <w:r w:rsidRPr="00C20E86">
        <w:rPr>
          <w:i/>
          <w:lang w:val="en-US"/>
        </w:rPr>
        <w:t>Ecology</w:t>
      </w:r>
      <w:r w:rsidRPr="00C20E86">
        <w:rPr>
          <w:lang w:val="en-US"/>
        </w:rPr>
        <w:t>, 86(5):1320–1330.</w:t>
      </w:r>
    </w:p>
    <w:p w14:paraId="4B1DB066" w14:textId="77777777" w:rsidR="00674D90" w:rsidRPr="00C20E86" w:rsidRDefault="00000000">
      <w:pPr>
        <w:ind w:left="184" w:hanging="199"/>
        <w:rPr>
          <w:lang w:val="en-US"/>
        </w:rPr>
      </w:pPr>
      <w:r w:rsidRPr="00C20E86">
        <w:rPr>
          <w:lang w:val="en-US"/>
        </w:rPr>
        <w:t xml:space="preserve">Hofmann, D. D., Cozzi, G., McNutt, J. W., Ozgul, A., and Behr, D. M. (2023). A ThreeStep Approach for Assessing Landscape Connectivity Via Simulated Dispersal: African Wild Dog Case Study. </w:t>
      </w:r>
      <w:r w:rsidRPr="00C20E86">
        <w:rPr>
          <w:i/>
          <w:lang w:val="en-US"/>
        </w:rPr>
        <w:t>Landscape Ecology</w:t>
      </w:r>
      <w:r w:rsidRPr="00C20E86">
        <w:rPr>
          <w:lang w:val="en-US"/>
        </w:rPr>
        <w:t>.</w:t>
      </w:r>
    </w:p>
    <w:p w14:paraId="4D051FC8" w14:textId="77777777" w:rsidR="00674D90" w:rsidRPr="00C20E86" w:rsidRDefault="00000000">
      <w:pPr>
        <w:ind w:left="184" w:hanging="199"/>
        <w:rPr>
          <w:lang w:val="en-US"/>
        </w:rPr>
      </w:pPr>
      <w:r w:rsidRPr="00C20E86">
        <w:rPr>
          <w:lang w:val="en-US"/>
        </w:rPr>
        <w:t xml:space="preserve">Muff, S., Signer, J., and Fieberg, J. (2020). Accounting for Individual-Specific Variation in Habitat-Selection Studies: Efficient Estimation of Mixed-Effects Models Using Bayesian or Frequentist Computation. </w:t>
      </w:r>
      <w:r w:rsidRPr="00C20E86">
        <w:rPr>
          <w:i/>
          <w:lang w:val="en-US"/>
        </w:rPr>
        <w:t>Journal of Animal Ecology</w:t>
      </w:r>
      <w:r w:rsidRPr="00C20E86">
        <w:rPr>
          <w:lang w:val="en-US"/>
        </w:rPr>
        <w:t>, 89(1):80–92.</w:t>
      </w:r>
    </w:p>
    <w:p w14:paraId="58A1169E" w14:textId="77777777" w:rsidR="00674D90" w:rsidRPr="00C20E86" w:rsidRDefault="00000000">
      <w:pPr>
        <w:ind w:left="184" w:hanging="199"/>
        <w:rPr>
          <w:lang w:val="en-US"/>
        </w:rPr>
      </w:pPr>
      <w:r w:rsidRPr="00C20E86">
        <w:rPr>
          <w:lang w:val="en-US"/>
        </w:rPr>
        <w:t xml:space="preserve">Signer, J., Fieberg, J., and Avgar, T. (2017). Estimating Utilization Distributions from Fitted Step-Selection Functions. </w:t>
      </w:r>
      <w:r w:rsidRPr="00C20E86">
        <w:rPr>
          <w:i/>
          <w:lang w:val="en-US"/>
        </w:rPr>
        <w:t>Ecosphere</w:t>
      </w:r>
      <w:r w:rsidRPr="00C20E86">
        <w:rPr>
          <w:lang w:val="en-US"/>
        </w:rPr>
        <w:t>, 8(4):e01771.</w:t>
      </w:r>
    </w:p>
    <w:p w14:paraId="36ED98DF" w14:textId="77777777" w:rsidR="00674D90" w:rsidRPr="00C20E86" w:rsidRDefault="00000000">
      <w:pPr>
        <w:spacing w:after="173"/>
        <w:ind w:left="184" w:hanging="199"/>
        <w:rPr>
          <w:lang w:val="en-US"/>
        </w:rPr>
      </w:pPr>
      <w:r w:rsidRPr="00C20E86">
        <w:rPr>
          <w:lang w:val="en-US"/>
        </w:rPr>
        <w:t xml:space="preserve">Thurfjell, H., Ciuti, S., and Boyce, M. S. (2014). Applications of Step-Selection Functions in Ecology and Conservation. </w:t>
      </w:r>
      <w:r w:rsidRPr="00C20E86">
        <w:rPr>
          <w:i/>
          <w:lang w:val="en-US"/>
        </w:rPr>
        <w:t>Movement Ecology</w:t>
      </w:r>
      <w:r w:rsidRPr="00C20E86">
        <w:rPr>
          <w:lang w:val="en-US"/>
        </w:rPr>
        <w:t>, 2(4).</w:t>
      </w:r>
    </w:p>
    <w:p w14:paraId="540E64F3" w14:textId="77777777" w:rsidR="00674D90" w:rsidRDefault="00000000">
      <w:pPr>
        <w:spacing w:after="0" w:line="254" w:lineRule="auto"/>
        <w:ind w:left="199" w:hanging="199"/>
        <w:jc w:val="left"/>
      </w:pPr>
      <w:r w:rsidRPr="00C20E86">
        <w:rPr>
          <w:lang w:val="en-US"/>
        </w:rPr>
        <w:t xml:space="preserve">Turchin, P. (1998). </w:t>
      </w:r>
      <w:r w:rsidRPr="00C20E86">
        <w:rPr>
          <w:i/>
          <w:lang w:val="en-US"/>
        </w:rPr>
        <w:t>Quantitative Analysis of Movement: Measuring and Modeling Population Redistribution in Animals and Plants</w:t>
      </w:r>
      <w:r w:rsidRPr="00C20E86">
        <w:rPr>
          <w:lang w:val="en-US"/>
        </w:rPr>
        <w:t xml:space="preserve">. </w:t>
      </w:r>
      <w:r>
        <w:t>Sinauer Associates, Sunderland, Mass.</w:t>
      </w:r>
    </w:p>
    <w:sectPr w:rsidR="00674D90">
      <w:footerReference w:type="even" r:id="rId14"/>
      <w:footerReference w:type="default" r:id="rId15"/>
      <w:footerReference w:type="first" r:id="rId16"/>
      <w:pgSz w:w="11906" w:h="16838"/>
      <w:pgMar w:top="1417" w:right="1984" w:bottom="3114" w:left="1984"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E629C" w14:textId="77777777" w:rsidR="009D7D42" w:rsidRDefault="009D7D42">
      <w:pPr>
        <w:spacing w:after="0" w:line="240" w:lineRule="auto"/>
      </w:pPr>
      <w:r>
        <w:separator/>
      </w:r>
    </w:p>
  </w:endnote>
  <w:endnote w:type="continuationSeparator" w:id="0">
    <w:p w14:paraId="3F407311" w14:textId="77777777" w:rsidR="009D7D42" w:rsidRDefault="009D7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2FB8A" w14:textId="77777777" w:rsidR="00674D90" w:rsidRDefault="00000000">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6BA4" w14:textId="77777777" w:rsidR="00674D90" w:rsidRDefault="00000000">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E746A" w14:textId="77777777" w:rsidR="00674D90" w:rsidRDefault="00674D9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835F5" w14:textId="77777777" w:rsidR="009D7D42" w:rsidRDefault="009D7D42">
      <w:pPr>
        <w:spacing w:after="0" w:line="240" w:lineRule="auto"/>
      </w:pPr>
      <w:r>
        <w:separator/>
      </w:r>
    </w:p>
  </w:footnote>
  <w:footnote w:type="continuationSeparator" w:id="0">
    <w:p w14:paraId="6D183D36" w14:textId="77777777" w:rsidR="009D7D42" w:rsidRDefault="009D7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CF1AB5"/>
    <w:multiLevelType w:val="hybridMultilevel"/>
    <w:tmpl w:val="9B64D088"/>
    <w:lvl w:ilvl="0" w:tplc="7A301D4A">
      <w:start w:val="1"/>
      <w:numFmt w:val="decimal"/>
      <w:lvlText w:val="%1"/>
      <w:lvlJc w:val="left"/>
      <w:pPr>
        <w:ind w:left="1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1" w:tplc="256CEEB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2" w:tplc="E08043A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3" w:tplc="556A214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4" w:tplc="C3E0E564">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5" w:tplc="BFBAC960">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6" w:tplc="0888B3FE">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7" w:tplc="A9F8153C">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8" w:tplc="09E6FA36">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abstractNum>
  <w:num w:numId="1" w16cid:durableId="1696997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D90"/>
    <w:rsid w:val="00674D90"/>
    <w:rsid w:val="009D7D42"/>
    <w:rsid w:val="00C20E8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AE8AE"/>
  <w15:docId w15:val="{49386E87-63E3-4F21-8CB8-04CC50012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44" w:line="264" w:lineRule="auto"/>
      <w:ind w:left="10" w:hanging="10"/>
      <w:jc w:val="both"/>
    </w:pPr>
    <w:rPr>
      <w:rFonts w:ascii="Cambria" w:eastAsia="Cambria" w:hAnsi="Cambria" w:cs="Cambria"/>
      <w:color w:val="000000"/>
      <w:sz w:val="20"/>
    </w:rPr>
  </w:style>
  <w:style w:type="paragraph" w:styleId="berschrift1">
    <w:name w:val="heading 1"/>
    <w:next w:val="Standard"/>
    <w:link w:val="berschrift1Zchn"/>
    <w:uiPriority w:val="9"/>
    <w:qFormat/>
    <w:pPr>
      <w:keepNext/>
      <w:keepLines/>
      <w:spacing w:after="71"/>
      <w:ind w:left="10" w:hanging="10"/>
      <w:outlineLvl w:val="0"/>
    </w:pPr>
    <w:rPr>
      <w:rFonts w:ascii="Cambria" w:eastAsia="Cambria" w:hAnsi="Cambria" w:cs="Cambria"/>
      <w:b/>
      <w:color w:val="000000"/>
      <w:sz w:val="2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Pr>
      <w:rFonts w:ascii="Cambria" w:eastAsia="Cambria" w:hAnsi="Cambria" w:cs="Cambria"/>
      <w:b/>
      <w:color w:val="000000"/>
      <w:sz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932</Words>
  <Characters>5877</Characters>
  <Application>Microsoft Office Word</Application>
  <DocSecurity>0</DocSecurity>
  <Lines>48</Lines>
  <Paragraphs>13</Paragraphs>
  <ScaleCrop>false</ScaleCrop>
  <Company/>
  <LinksUpToDate>false</LinksUpToDate>
  <CharactersWithSpaces>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cp:lastModifiedBy>David</cp:lastModifiedBy>
  <cp:revision>2</cp:revision>
  <dcterms:created xsi:type="dcterms:W3CDTF">2023-07-24T11:00:00Z</dcterms:created>
  <dcterms:modified xsi:type="dcterms:W3CDTF">2023-07-24T11:00:00Z</dcterms:modified>
</cp:coreProperties>
</file>